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5CEB9" w14:textId="77777777" w:rsidR="00CB4E28" w:rsidRPr="00E11060" w:rsidRDefault="00E11060">
      <w:pPr>
        <w:rPr>
          <w:b/>
        </w:rPr>
      </w:pPr>
      <w:r w:rsidRPr="00E11060">
        <w:rPr>
          <w:b/>
        </w:rPr>
        <w:t>End of Key Stage Assessment Outcomes – 2023</w:t>
      </w:r>
    </w:p>
    <w:p w14:paraId="31D85EA2" w14:textId="77777777" w:rsidR="00E11060" w:rsidRDefault="00E11060">
      <w:r>
        <w:t>Children are assessed nationally at the end of Year 2 and Year 6. This is achieved through a combination of teacher assessment and national testing.</w:t>
      </w:r>
    </w:p>
    <w:p w14:paraId="54B33502" w14:textId="77777777" w:rsidR="00E11060" w:rsidRPr="003E6760" w:rsidRDefault="003E6760">
      <w:pPr>
        <w:rPr>
          <w:b/>
        </w:rPr>
      </w:pPr>
      <w:r w:rsidRPr="003E6760">
        <w:rPr>
          <w:b/>
        </w:rPr>
        <w:t>This year, by the end of Year 6, pupils</w:t>
      </w:r>
      <w:r w:rsidR="00E11060" w:rsidRPr="003E6760">
        <w:rPr>
          <w:b/>
        </w:rPr>
        <w:t xml:space="preserve"> at Foundry Lane performed </w:t>
      </w:r>
      <w:r w:rsidRPr="003E6760">
        <w:rPr>
          <w:b/>
        </w:rPr>
        <w:t>in line with other pupils nationally in reading and better than other pupils nationally in Writing and Maths.</w:t>
      </w:r>
    </w:p>
    <w:p w14:paraId="7A05647E" w14:textId="77777777" w:rsidR="00E11060" w:rsidRDefault="00E11060">
      <w:pPr>
        <w:rPr>
          <w:b/>
        </w:rPr>
      </w:pPr>
      <w:r w:rsidRPr="00E11060">
        <w:rPr>
          <w:b/>
        </w:rPr>
        <w:t>KS1 Assessment (Year 2)</w:t>
      </w:r>
    </w:p>
    <w:p w14:paraId="3BED1CA7" w14:textId="77777777" w:rsidR="00E11060" w:rsidRDefault="00E11060">
      <w:r>
        <w:t>Assessment at the end of KS1 is through teacher assessment supported by national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11060" w14:paraId="6CE4EB47" w14:textId="77777777" w:rsidTr="00E11060">
        <w:tc>
          <w:tcPr>
            <w:tcW w:w="2091" w:type="dxa"/>
            <w:vMerge w:val="restart"/>
          </w:tcPr>
          <w:p w14:paraId="1270F548" w14:textId="77777777" w:rsidR="00E11060" w:rsidRDefault="00E11060"/>
        </w:tc>
        <w:tc>
          <w:tcPr>
            <w:tcW w:w="4182" w:type="dxa"/>
            <w:gridSpan w:val="2"/>
            <w:vAlign w:val="center"/>
          </w:tcPr>
          <w:p w14:paraId="127E90FE" w14:textId="77777777" w:rsidR="00E11060" w:rsidRPr="00E11060" w:rsidRDefault="00E11060" w:rsidP="00E11060">
            <w:pPr>
              <w:jc w:val="center"/>
              <w:rPr>
                <w:b/>
              </w:rPr>
            </w:pPr>
            <w:r>
              <w:rPr>
                <w:b/>
              </w:rPr>
              <w:t>Foundry Lane</w:t>
            </w:r>
          </w:p>
        </w:tc>
        <w:tc>
          <w:tcPr>
            <w:tcW w:w="4183" w:type="dxa"/>
            <w:gridSpan w:val="2"/>
            <w:vAlign w:val="center"/>
          </w:tcPr>
          <w:p w14:paraId="1C8D1ED7" w14:textId="77777777" w:rsidR="00E11060" w:rsidRPr="00E11060" w:rsidRDefault="00E11060" w:rsidP="00E11060">
            <w:pPr>
              <w:jc w:val="center"/>
              <w:rPr>
                <w:b/>
              </w:rPr>
            </w:pPr>
            <w:r w:rsidRPr="00E11060">
              <w:rPr>
                <w:b/>
              </w:rPr>
              <w:t>NCER Emerging National</w:t>
            </w:r>
          </w:p>
        </w:tc>
      </w:tr>
      <w:tr w:rsidR="00E11060" w14:paraId="464BDC25" w14:textId="77777777" w:rsidTr="00E11060">
        <w:tc>
          <w:tcPr>
            <w:tcW w:w="2091" w:type="dxa"/>
            <w:vMerge/>
          </w:tcPr>
          <w:p w14:paraId="25230672" w14:textId="77777777" w:rsidR="00E11060" w:rsidRDefault="00E11060"/>
        </w:tc>
        <w:tc>
          <w:tcPr>
            <w:tcW w:w="2091" w:type="dxa"/>
          </w:tcPr>
          <w:p w14:paraId="4BBAFC6F" w14:textId="77777777" w:rsidR="00E11060" w:rsidRDefault="00E11060">
            <w:r>
              <w:t>% of pupils meeting the expected standard</w:t>
            </w:r>
          </w:p>
        </w:tc>
        <w:tc>
          <w:tcPr>
            <w:tcW w:w="2091" w:type="dxa"/>
          </w:tcPr>
          <w:p w14:paraId="5F7310EE" w14:textId="77777777" w:rsidR="00E11060" w:rsidRDefault="00E11060">
            <w:r>
              <w:t>% of pupils working at greater depth</w:t>
            </w:r>
          </w:p>
        </w:tc>
        <w:tc>
          <w:tcPr>
            <w:tcW w:w="2091" w:type="dxa"/>
          </w:tcPr>
          <w:p w14:paraId="5C5D55CC" w14:textId="77777777" w:rsidR="00E11060" w:rsidRDefault="00E11060">
            <w:r>
              <w:t>% of pupils meeting the expected standard</w:t>
            </w:r>
          </w:p>
        </w:tc>
        <w:tc>
          <w:tcPr>
            <w:tcW w:w="2092" w:type="dxa"/>
          </w:tcPr>
          <w:p w14:paraId="03B15D10" w14:textId="77777777" w:rsidR="00E11060" w:rsidRDefault="00E11060">
            <w:r>
              <w:t>% of pupils working at greater depth</w:t>
            </w:r>
          </w:p>
        </w:tc>
      </w:tr>
      <w:tr w:rsidR="00CC5DB5" w14:paraId="50572D1A" w14:textId="77777777" w:rsidTr="00E11060">
        <w:tc>
          <w:tcPr>
            <w:tcW w:w="2091" w:type="dxa"/>
          </w:tcPr>
          <w:p w14:paraId="67494D28" w14:textId="77777777" w:rsidR="00CC5DB5" w:rsidRDefault="00CC5DB5" w:rsidP="00CC5DB5">
            <w:r>
              <w:t>Reading</w:t>
            </w:r>
          </w:p>
        </w:tc>
        <w:tc>
          <w:tcPr>
            <w:tcW w:w="2091" w:type="dxa"/>
          </w:tcPr>
          <w:p w14:paraId="0221EFF2" w14:textId="77777777" w:rsidR="00CC5DB5" w:rsidRDefault="00CC5DB5" w:rsidP="00CC5DB5">
            <w:r>
              <w:t>72.2%</w:t>
            </w:r>
          </w:p>
        </w:tc>
        <w:tc>
          <w:tcPr>
            <w:tcW w:w="2091" w:type="dxa"/>
          </w:tcPr>
          <w:p w14:paraId="6AFEC66B" w14:textId="77777777" w:rsidR="00CC5DB5" w:rsidRDefault="00CC5DB5" w:rsidP="00CC5DB5">
            <w:r>
              <w:t>13.3%</w:t>
            </w:r>
          </w:p>
        </w:tc>
        <w:tc>
          <w:tcPr>
            <w:tcW w:w="2091" w:type="dxa"/>
          </w:tcPr>
          <w:p w14:paraId="4B0ED6DB" w14:textId="77777777" w:rsidR="00CC5DB5" w:rsidRDefault="00CC5DB5" w:rsidP="00CC5DB5">
            <w:r>
              <w:t>68.3%</w:t>
            </w:r>
          </w:p>
        </w:tc>
        <w:tc>
          <w:tcPr>
            <w:tcW w:w="2092" w:type="dxa"/>
          </w:tcPr>
          <w:p w14:paraId="13557431" w14:textId="77777777" w:rsidR="00CC5DB5" w:rsidRDefault="00CC5DB5" w:rsidP="00CC5DB5">
            <w:r>
              <w:t>18.8%</w:t>
            </w:r>
          </w:p>
        </w:tc>
      </w:tr>
      <w:tr w:rsidR="00CC5DB5" w14:paraId="7B92DB75" w14:textId="77777777" w:rsidTr="00E11060">
        <w:tc>
          <w:tcPr>
            <w:tcW w:w="2091" w:type="dxa"/>
          </w:tcPr>
          <w:p w14:paraId="3B6A2C37" w14:textId="77777777" w:rsidR="00CC5DB5" w:rsidRDefault="00CC5DB5" w:rsidP="00CC5DB5">
            <w:r>
              <w:t>Writing</w:t>
            </w:r>
          </w:p>
        </w:tc>
        <w:tc>
          <w:tcPr>
            <w:tcW w:w="2091" w:type="dxa"/>
          </w:tcPr>
          <w:p w14:paraId="732F17CA" w14:textId="77777777" w:rsidR="00CC5DB5" w:rsidRDefault="00CC5DB5" w:rsidP="00CC5DB5">
            <w:r>
              <w:t>61.1%</w:t>
            </w:r>
          </w:p>
        </w:tc>
        <w:tc>
          <w:tcPr>
            <w:tcW w:w="2091" w:type="dxa"/>
          </w:tcPr>
          <w:p w14:paraId="70B08A1B" w14:textId="77777777" w:rsidR="00CC5DB5" w:rsidRDefault="00CC5DB5" w:rsidP="00CC5DB5">
            <w:r>
              <w:t>4.4%</w:t>
            </w:r>
          </w:p>
        </w:tc>
        <w:tc>
          <w:tcPr>
            <w:tcW w:w="2091" w:type="dxa"/>
          </w:tcPr>
          <w:p w14:paraId="3FAF1309" w14:textId="77777777" w:rsidR="00CC5DB5" w:rsidRDefault="00CC5DB5" w:rsidP="00CC5DB5">
            <w:r>
              <w:t>60.2%</w:t>
            </w:r>
          </w:p>
        </w:tc>
        <w:tc>
          <w:tcPr>
            <w:tcW w:w="2092" w:type="dxa"/>
          </w:tcPr>
          <w:p w14:paraId="3A7A2965" w14:textId="77777777" w:rsidR="00CC5DB5" w:rsidRDefault="00CC5DB5" w:rsidP="00CC5DB5">
            <w:r>
              <w:t>8.2%</w:t>
            </w:r>
          </w:p>
        </w:tc>
      </w:tr>
      <w:tr w:rsidR="00CC5DB5" w14:paraId="35219963" w14:textId="77777777" w:rsidTr="00E11060">
        <w:tc>
          <w:tcPr>
            <w:tcW w:w="2091" w:type="dxa"/>
          </w:tcPr>
          <w:p w14:paraId="4BFA1A8E" w14:textId="77777777" w:rsidR="00CC5DB5" w:rsidRDefault="00CC5DB5" w:rsidP="00CC5DB5">
            <w:r>
              <w:t>Maths</w:t>
            </w:r>
          </w:p>
        </w:tc>
        <w:tc>
          <w:tcPr>
            <w:tcW w:w="2091" w:type="dxa"/>
          </w:tcPr>
          <w:p w14:paraId="54D98796" w14:textId="77777777" w:rsidR="00CC5DB5" w:rsidRDefault="00CC5DB5" w:rsidP="00CC5DB5">
            <w:r>
              <w:t>75.6%</w:t>
            </w:r>
          </w:p>
        </w:tc>
        <w:tc>
          <w:tcPr>
            <w:tcW w:w="2091" w:type="dxa"/>
          </w:tcPr>
          <w:p w14:paraId="383362B4" w14:textId="77777777" w:rsidR="00CC5DB5" w:rsidRDefault="00CC5DB5" w:rsidP="00CC5DB5">
            <w:r>
              <w:t>13.3%</w:t>
            </w:r>
          </w:p>
        </w:tc>
        <w:tc>
          <w:tcPr>
            <w:tcW w:w="2091" w:type="dxa"/>
          </w:tcPr>
          <w:p w14:paraId="265E6BBC" w14:textId="77777777" w:rsidR="00CC5DB5" w:rsidRDefault="00CC5DB5" w:rsidP="00CC5DB5">
            <w:r>
              <w:t>70.5%</w:t>
            </w:r>
          </w:p>
        </w:tc>
        <w:tc>
          <w:tcPr>
            <w:tcW w:w="2092" w:type="dxa"/>
          </w:tcPr>
          <w:p w14:paraId="0F57C4B2" w14:textId="77777777" w:rsidR="00CC5DB5" w:rsidRDefault="00CC5DB5" w:rsidP="00CC5DB5">
            <w:r>
              <w:t>16.4%</w:t>
            </w:r>
          </w:p>
        </w:tc>
      </w:tr>
    </w:tbl>
    <w:p w14:paraId="650631B2" w14:textId="77777777" w:rsidR="00E11060" w:rsidRDefault="00E11060"/>
    <w:p w14:paraId="39AD657D" w14:textId="77777777" w:rsidR="00E11060" w:rsidRDefault="00E11060">
      <w:pPr>
        <w:rPr>
          <w:b/>
        </w:rPr>
      </w:pPr>
      <w:r w:rsidRPr="00E11060">
        <w:rPr>
          <w:b/>
        </w:rPr>
        <w:t>KS2 Assessment (Year 6)</w:t>
      </w:r>
    </w:p>
    <w:p w14:paraId="4C1B2E7F" w14:textId="77777777" w:rsidR="00E11060" w:rsidRDefault="00E11060">
      <w:r>
        <w:t>Assessment at the end of Key Stage 2 is through testing for Reading, Grammar Punctuation and Spelling and Maths. Writing is assessed through teacher assessment.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11060" w14:paraId="6EB1B8F9" w14:textId="77777777" w:rsidTr="00E37D5E">
        <w:tc>
          <w:tcPr>
            <w:tcW w:w="2091" w:type="dxa"/>
            <w:vMerge w:val="restart"/>
          </w:tcPr>
          <w:p w14:paraId="49D39FEB" w14:textId="77777777" w:rsidR="00E11060" w:rsidRDefault="00E11060" w:rsidP="00E11060"/>
        </w:tc>
        <w:tc>
          <w:tcPr>
            <w:tcW w:w="4182" w:type="dxa"/>
            <w:gridSpan w:val="2"/>
            <w:vAlign w:val="center"/>
          </w:tcPr>
          <w:p w14:paraId="56AAD5C8" w14:textId="77777777" w:rsidR="00E11060" w:rsidRPr="00E11060" w:rsidRDefault="00E11060" w:rsidP="00E11060">
            <w:pPr>
              <w:jc w:val="center"/>
              <w:rPr>
                <w:b/>
              </w:rPr>
            </w:pPr>
            <w:r>
              <w:rPr>
                <w:b/>
              </w:rPr>
              <w:t>Foundry Lane</w:t>
            </w:r>
          </w:p>
        </w:tc>
        <w:tc>
          <w:tcPr>
            <w:tcW w:w="4183" w:type="dxa"/>
            <w:gridSpan w:val="2"/>
            <w:vAlign w:val="center"/>
          </w:tcPr>
          <w:p w14:paraId="72D84A92" w14:textId="77777777" w:rsidR="00E11060" w:rsidRPr="00E11060" w:rsidRDefault="00E11060" w:rsidP="00E11060">
            <w:pPr>
              <w:jc w:val="center"/>
              <w:rPr>
                <w:b/>
              </w:rPr>
            </w:pPr>
            <w:r w:rsidRPr="00E11060">
              <w:rPr>
                <w:b/>
              </w:rPr>
              <w:t>NCER Emerging National</w:t>
            </w:r>
          </w:p>
        </w:tc>
      </w:tr>
      <w:tr w:rsidR="00E11060" w14:paraId="7A5A0151" w14:textId="77777777" w:rsidTr="00E11060">
        <w:tc>
          <w:tcPr>
            <w:tcW w:w="2091" w:type="dxa"/>
            <w:vMerge/>
          </w:tcPr>
          <w:p w14:paraId="33122510" w14:textId="77777777" w:rsidR="00E11060" w:rsidRDefault="00E11060" w:rsidP="00E11060"/>
        </w:tc>
        <w:tc>
          <w:tcPr>
            <w:tcW w:w="2091" w:type="dxa"/>
          </w:tcPr>
          <w:p w14:paraId="5A24B359" w14:textId="77777777" w:rsidR="00E11060" w:rsidRDefault="00E11060" w:rsidP="00E11060">
            <w:r>
              <w:t>% of pupils meeting the expected standard</w:t>
            </w:r>
          </w:p>
        </w:tc>
        <w:tc>
          <w:tcPr>
            <w:tcW w:w="2091" w:type="dxa"/>
          </w:tcPr>
          <w:p w14:paraId="4D0143AF" w14:textId="77777777" w:rsidR="00E11060" w:rsidRDefault="00E11060" w:rsidP="00E11060">
            <w:r>
              <w:t>% of pupils working at greater depth</w:t>
            </w:r>
          </w:p>
        </w:tc>
        <w:tc>
          <w:tcPr>
            <w:tcW w:w="2091" w:type="dxa"/>
          </w:tcPr>
          <w:p w14:paraId="448E6F0F" w14:textId="77777777" w:rsidR="00E11060" w:rsidRDefault="00E11060" w:rsidP="00E11060">
            <w:r>
              <w:t>% of pupils meeting the expected standard</w:t>
            </w:r>
          </w:p>
        </w:tc>
        <w:tc>
          <w:tcPr>
            <w:tcW w:w="2092" w:type="dxa"/>
          </w:tcPr>
          <w:p w14:paraId="27476E2A" w14:textId="77777777" w:rsidR="00E11060" w:rsidRDefault="00E11060" w:rsidP="00E11060">
            <w:r>
              <w:t>% of pupils working at greater depth</w:t>
            </w:r>
          </w:p>
        </w:tc>
      </w:tr>
      <w:tr w:rsidR="00E11060" w14:paraId="5A8D4B13" w14:textId="77777777" w:rsidTr="00E11060">
        <w:tc>
          <w:tcPr>
            <w:tcW w:w="2091" w:type="dxa"/>
          </w:tcPr>
          <w:p w14:paraId="69F18C3D" w14:textId="77777777" w:rsidR="00E11060" w:rsidRDefault="00E11060">
            <w:r>
              <w:t>Reading</w:t>
            </w:r>
          </w:p>
        </w:tc>
        <w:tc>
          <w:tcPr>
            <w:tcW w:w="2091" w:type="dxa"/>
          </w:tcPr>
          <w:p w14:paraId="729DFE43" w14:textId="77777777" w:rsidR="00E11060" w:rsidRDefault="00CC5DB5">
            <w:r>
              <w:t>72.2%</w:t>
            </w:r>
          </w:p>
        </w:tc>
        <w:tc>
          <w:tcPr>
            <w:tcW w:w="2091" w:type="dxa"/>
          </w:tcPr>
          <w:p w14:paraId="32304514" w14:textId="77777777" w:rsidR="00E11060" w:rsidRDefault="00CC5DB5">
            <w:r>
              <w:t>30.0%</w:t>
            </w:r>
          </w:p>
        </w:tc>
        <w:tc>
          <w:tcPr>
            <w:tcW w:w="2091" w:type="dxa"/>
          </w:tcPr>
          <w:p w14:paraId="00D6EA1C" w14:textId="77777777" w:rsidR="00E11060" w:rsidRDefault="00CC5DB5">
            <w:r>
              <w:t>72.5%</w:t>
            </w:r>
          </w:p>
        </w:tc>
        <w:tc>
          <w:tcPr>
            <w:tcW w:w="2092" w:type="dxa"/>
          </w:tcPr>
          <w:p w14:paraId="4FDFDF7B" w14:textId="77777777" w:rsidR="00E11060" w:rsidRDefault="00CC5DB5">
            <w:r>
              <w:t>28.9%</w:t>
            </w:r>
          </w:p>
        </w:tc>
      </w:tr>
      <w:tr w:rsidR="00E11060" w14:paraId="383BC42A" w14:textId="77777777" w:rsidTr="00E11060">
        <w:tc>
          <w:tcPr>
            <w:tcW w:w="2091" w:type="dxa"/>
          </w:tcPr>
          <w:p w14:paraId="7985F197" w14:textId="77777777" w:rsidR="00E11060" w:rsidRDefault="00E11060">
            <w:r>
              <w:t>Writing</w:t>
            </w:r>
          </w:p>
        </w:tc>
        <w:tc>
          <w:tcPr>
            <w:tcW w:w="2091" w:type="dxa"/>
          </w:tcPr>
          <w:p w14:paraId="229217F5" w14:textId="77777777" w:rsidR="00E11060" w:rsidRDefault="00CC5DB5">
            <w:r>
              <w:t>77.7%</w:t>
            </w:r>
          </w:p>
        </w:tc>
        <w:tc>
          <w:tcPr>
            <w:tcW w:w="2091" w:type="dxa"/>
          </w:tcPr>
          <w:p w14:paraId="59ADCD45" w14:textId="77777777" w:rsidR="00E11060" w:rsidRDefault="00CC5DB5">
            <w:r>
              <w:t>17.8%</w:t>
            </w:r>
          </w:p>
        </w:tc>
        <w:tc>
          <w:tcPr>
            <w:tcW w:w="2091" w:type="dxa"/>
          </w:tcPr>
          <w:p w14:paraId="7BA8C3E7" w14:textId="77777777" w:rsidR="00E11060" w:rsidRDefault="00CC5DB5">
            <w:r>
              <w:t>71.4%</w:t>
            </w:r>
          </w:p>
        </w:tc>
        <w:tc>
          <w:tcPr>
            <w:tcW w:w="2092" w:type="dxa"/>
          </w:tcPr>
          <w:p w14:paraId="14706E14" w14:textId="77777777" w:rsidR="00E11060" w:rsidRDefault="00CC5DB5">
            <w:r>
              <w:t>13.3%</w:t>
            </w:r>
          </w:p>
        </w:tc>
      </w:tr>
      <w:tr w:rsidR="00E11060" w14:paraId="2D219B55" w14:textId="77777777" w:rsidTr="00E11060">
        <w:tc>
          <w:tcPr>
            <w:tcW w:w="2091" w:type="dxa"/>
          </w:tcPr>
          <w:p w14:paraId="67E1635C" w14:textId="77777777" w:rsidR="00E11060" w:rsidRDefault="00E11060">
            <w:r>
              <w:t>Grammar Punctuation and Spelling</w:t>
            </w:r>
          </w:p>
        </w:tc>
        <w:tc>
          <w:tcPr>
            <w:tcW w:w="2091" w:type="dxa"/>
          </w:tcPr>
          <w:p w14:paraId="4CADB409" w14:textId="77777777" w:rsidR="00E11060" w:rsidRDefault="00CC5DB5">
            <w:r>
              <w:t>67.8%</w:t>
            </w:r>
          </w:p>
        </w:tc>
        <w:tc>
          <w:tcPr>
            <w:tcW w:w="2091" w:type="dxa"/>
          </w:tcPr>
          <w:p w14:paraId="3EE0A186" w14:textId="77777777" w:rsidR="00E11060" w:rsidRDefault="00CC5DB5">
            <w:r>
              <w:t>25.6%</w:t>
            </w:r>
          </w:p>
        </w:tc>
        <w:tc>
          <w:tcPr>
            <w:tcW w:w="2091" w:type="dxa"/>
          </w:tcPr>
          <w:p w14:paraId="4AA16CDE" w14:textId="77777777" w:rsidR="00E11060" w:rsidRDefault="00CC5DB5">
            <w:r>
              <w:t>72.2%</w:t>
            </w:r>
          </w:p>
        </w:tc>
        <w:tc>
          <w:tcPr>
            <w:tcW w:w="2092" w:type="dxa"/>
          </w:tcPr>
          <w:p w14:paraId="2DDA5CA9" w14:textId="77777777" w:rsidR="00E11060" w:rsidRDefault="00CC5DB5">
            <w:r>
              <w:t>29.9%</w:t>
            </w:r>
          </w:p>
        </w:tc>
      </w:tr>
      <w:tr w:rsidR="00E11060" w14:paraId="465913A2" w14:textId="77777777" w:rsidTr="00E11060">
        <w:tc>
          <w:tcPr>
            <w:tcW w:w="2091" w:type="dxa"/>
          </w:tcPr>
          <w:p w14:paraId="7D50E0D8" w14:textId="77777777" w:rsidR="00E11060" w:rsidRDefault="00E11060">
            <w:r>
              <w:t>Maths</w:t>
            </w:r>
          </w:p>
        </w:tc>
        <w:tc>
          <w:tcPr>
            <w:tcW w:w="2091" w:type="dxa"/>
          </w:tcPr>
          <w:p w14:paraId="22CEBDED" w14:textId="77777777" w:rsidR="00E11060" w:rsidRDefault="00CC5DB5">
            <w:r>
              <w:t>81.1%</w:t>
            </w:r>
          </w:p>
        </w:tc>
        <w:tc>
          <w:tcPr>
            <w:tcW w:w="2091" w:type="dxa"/>
          </w:tcPr>
          <w:p w14:paraId="7058DF86" w14:textId="77777777" w:rsidR="00E11060" w:rsidRDefault="00CC5DB5">
            <w:r>
              <w:t>25.6%</w:t>
            </w:r>
          </w:p>
        </w:tc>
        <w:tc>
          <w:tcPr>
            <w:tcW w:w="2091" w:type="dxa"/>
          </w:tcPr>
          <w:p w14:paraId="1C83FAE3" w14:textId="77777777" w:rsidR="00E11060" w:rsidRDefault="00CC5DB5">
            <w:r>
              <w:t>72.8%</w:t>
            </w:r>
          </w:p>
        </w:tc>
        <w:tc>
          <w:tcPr>
            <w:tcW w:w="2092" w:type="dxa"/>
          </w:tcPr>
          <w:p w14:paraId="0E3C9CD3" w14:textId="77777777" w:rsidR="00E11060" w:rsidRDefault="00CC5DB5">
            <w:r>
              <w:t>23.7%</w:t>
            </w:r>
          </w:p>
        </w:tc>
      </w:tr>
    </w:tbl>
    <w:p w14:paraId="6253048B" w14:textId="77777777" w:rsidR="00E11060" w:rsidRDefault="00E11060"/>
    <w:p w14:paraId="25E22868" w14:textId="77777777" w:rsidR="00E11060" w:rsidRPr="00E11060" w:rsidRDefault="00E11060">
      <w:pPr>
        <w:rPr>
          <w:b/>
        </w:rPr>
      </w:pPr>
      <w:r w:rsidRPr="00E11060">
        <w:rPr>
          <w:b/>
        </w:rPr>
        <w:t>Progress Scores</w:t>
      </w:r>
    </w:p>
    <w:p w14:paraId="7034E470" w14:textId="77777777" w:rsidR="00E11060" w:rsidRDefault="00E11060">
      <w:r>
        <w:t>These scores show the comparable progress that pupils make between Year 2 and Year 6.</w:t>
      </w:r>
    </w:p>
    <w:p w14:paraId="382C818B" w14:textId="77777777" w:rsidR="00E11060" w:rsidRDefault="00E11060">
      <w:r>
        <w:t xml:space="preserve">A score between -1 and +1 shows that, on average, pupils have made similar progress at Foundry Lane to other pupils nationally. A score above +1 shows that pupils have made significantly more progress than similar pupils nationally. </w:t>
      </w:r>
    </w:p>
    <w:p w14:paraId="1E7277DB" w14:textId="77777777" w:rsidR="00E11060" w:rsidRPr="003E6760" w:rsidRDefault="00E11060">
      <w:pPr>
        <w:rPr>
          <w:b/>
        </w:rPr>
      </w:pPr>
      <w:r w:rsidRPr="003E6760">
        <w:rPr>
          <w:b/>
        </w:rPr>
        <w:t>At Foundry Lane pupils made similar progress to other pupils nationally in reading and significantly more progress than other pu</w:t>
      </w:r>
      <w:r w:rsidR="003E6760">
        <w:rPr>
          <w:b/>
        </w:rPr>
        <w:t>pils nationally in Writing and M</w:t>
      </w:r>
      <w:bookmarkStart w:id="0" w:name="_GoBack"/>
      <w:bookmarkEnd w:id="0"/>
      <w:r w:rsidRPr="003E6760">
        <w:rPr>
          <w:b/>
        </w:rPr>
        <w:t>aths.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C5DB5" w14:paraId="71A5AF8F" w14:textId="77777777" w:rsidTr="00CC5DB5">
        <w:tc>
          <w:tcPr>
            <w:tcW w:w="5228" w:type="dxa"/>
          </w:tcPr>
          <w:p w14:paraId="286CD58A" w14:textId="77777777" w:rsidR="00CC5DB5" w:rsidRDefault="00CC5DB5"/>
        </w:tc>
        <w:tc>
          <w:tcPr>
            <w:tcW w:w="5228" w:type="dxa"/>
          </w:tcPr>
          <w:p w14:paraId="7248E5D2" w14:textId="77777777" w:rsidR="00CC5DB5" w:rsidRPr="00CC5DB5" w:rsidRDefault="00CC5DB5">
            <w:pPr>
              <w:rPr>
                <w:b/>
              </w:rPr>
            </w:pPr>
            <w:r w:rsidRPr="00CC5DB5">
              <w:rPr>
                <w:b/>
              </w:rPr>
              <w:t>School Progress Score</w:t>
            </w:r>
          </w:p>
        </w:tc>
      </w:tr>
      <w:tr w:rsidR="00CC5DB5" w14:paraId="20D63B6F" w14:textId="77777777" w:rsidTr="00CC5DB5">
        <w:tc>
          <w:tcPr>
            <w:tcW w:w="5228" w:type="dxa"/>
          </w:tcPr>
          <w:p w14:paraId="7C4CEDF7" w14:textId="77777777" w:rsidR="00CC5DB5" w:rsidRDefault="00CC5DB5">
            <w:r>
              <w:t>Reading</w:t>
            </w:r>
          </w:p>
        </w:tc>
        <w:tc>
          <w:tcPr>
            <w:tcW w:w="5228" w:type="dxa"/>
          </w:tcPr>
          <w:p w14:paraId="2E522806" w14:textId="77777777" w:rsidR="00CC5DB5" w:rsidRDefault="00CC5DB5">
            <w:r>
              <w:t>-0.3</w:t>
            </w:r>
          </w:p>
        </w:tc>
      </w:tr>
      <w:tr w:rsidR="00CC5DB5" w14:paraId="50AAE9A2" w14:textId="77777777" w:rsidTr="00CC5DB5">
        <w:tc>
          <w:tcPr>
            <w:tcW w:w="5228" w:type="dxa"/>
          </w:tcPr>
          <w:p w14:paraId="55B2CF37" w14:textId="77777777" w:rsidR="00CC5DB5" w:rsidRDefault="00CC5DB5">
            <w:r>
              <w:t>Writing</w:t>
            </w:r>
          </w:p>
        </w:tc>
        <w:tc>
          <w:tcPr>
            <w:tcW w:w="5228" w:type="dxa"/>
          </w:tcPr>
          <w:p w14:paraId="47C44C2B" w14:textId="77777777" w:rsidR="00CC5DB5" w:rsidRDefault="00CC5DB5">
            <w:r>
              <w:t>+1.62</w:t>
            </w:r>
          </w:p>
        </w:tc>
      </w:tr>
      <w:tr w:rsidR="00CC5DB5" w14:paraId="1C3F06CA" w14:textId="77777777" w:rsidTr="00CC5DB5">
        <w:tc>
          <w:tcPr>
            <w:tcW w:w="5228" w:type="dxa"/>
          </w:tcPr>
          <w:p w14:paraId="47D1C7CA" w14:textId="77777777" w:rsidR="00CC5DB5" w:rsidRDefault="00CC5DB5">
            <w:r>
              <w:t>Maths</w:t>
            </w:r>
          </w:p>
        </w:tc>
        <w:tc>
          <w:tcPr>
            <w:tcW w:w="5228" w:type="dxa"/>
          </w:tcPr>
          <w:p w14:paraId="55EA655A" w14:textId="77777777" w:rsidR="00CC5DB5" w:rsidRDefault="00CC5DB5">
            <w:r>
              <w:t>+1.44</w:t>
            </w:r>
          </w:p>
        </w:tc>
      </w:tr>
    </w:tbl>
    <w:p w14:paraId="38F425BC" w14:textId="77777777" w:rsidR="00E11060" w:rsidRPr="00E11060" w:rsidRDefault="00E11060"/>
    <w:sectPr w:rsidR="00E11060" w:rsidRPr="00E11060" w:rsidSect="00E110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0"/>
    <w:rsid w:val="003E6760"/>
    <w:rsid w:val="00A060BA"/>
    <w:rsid w:val="00B070C9"/>
    <w:rsid w:val="00CC5DB5"/>
    <w:rsid w:val="00E1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B1A3"/>
  <w15:chartTrackingRefBased/>
  <w15:docId w15:val="{C78E863B-2B5D-4755-BC66-81F0768D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0220FEA082348BADDB3B5013F1488" ma:contentTypeVersion="10" ma:contentTypeDescription="Create a new document." ma:contentTypeScope="" ma:versionID="bbccdf2fd68d7fdb105f2a253749d4c3">
  <xsd:schema xmlns:xsd="http://www.w3.org/2001/XMLSchema" xmlns:xs="http://www.w3.org/2001/XMLSchema" xmlns:p="http://schemas.microsoft.com/office/2006/metadata/properties" xmlns:ns3="8e9b6fd1-6932-453a-9415-270b9dacb2fe" targetNamespace="http://schemas.microsoft.com/office/2006/metadata/properties" ma:root="true" ma:fieldsID="5fbee29cd359c1192b9b5ead5853ced2" ns3:_="">
    <xsd:import namespace="8e9b6fd1-6932-453a-9415-270b9dacb2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b6fd1-6932-453a-9415-270b9dacb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6C118-C8DA-41DB-A2AA-E807F2587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b6fd1-6932-453a-9415-270b9dacb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39089-2768-4859-B9C4-B35F62534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4B3F2-9A90-4D3E-AF56-15160A90128E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8e9b6fd1-6932-453a-9415-270b9dacb2fe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Taylor</dc:creator>
  <cp:keywords/>
  <dc:description/>
  <cp:lastModifiedBy>Sean Taylor</cp:lastModifiedBy>
  <cp:revision>1</cp:revision>
  <dcterms:created xsi:type="dcterms:W3CDTF">2023-09-05T15:41:00Z</dcterms:created>
  <dcterms:modified xsi:type="dcterms:W3CDTF">2023-09-05T16:06:00Z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0x0101006F00220FEA082348BADDB3B5013F1488</vt:lpwstr>
  </property>
</Properties>
</file>